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Randall Maxey MD, PhD</w:t>
        <w:br/>
        <w:t>Hybrid Concierge Medical Practice Program</w:t>
      </w:r>
    </w:p>
    <w:p>
      <w:pPr>
        <w:pStyle w:val="Heading1"/>
      </w:pPr>
      <w:r>
        <w:t>1. Program Overview</w:t>
      </w:r>
    </w:p>
    <w:p>
      <w:r>
        <w:t>This hybrid concierge program enhances patient care while preserving all managed care relationships.</w:t>
      </w:r>
    </w:p>
    <w:p>
      <w:r>
        <w:t>Patients retain full access to insurance-covered services. Concierge membership provides additional</w:t>
      </w:r>
    </w:p>
    <w:p>
      <w:r>
        <w:t>non-covered services including enhanced access, prevention, and coordination.</w:t>
      </w:r>
    </w:p>
    <w:p>
      <w:pPr>
        <w:pStyle w:val="Heading1"/>
      </w:pPr>
      <w:r>
        <w:t>2. Tiered Membership Pricing</w:t>
      </w:r>
    </w:p>
    <w:p>
      <w:r>
        <w:t>Basic Plan – $125/month</w:t>
      </w:r>
    </w:p>
    <w:p>
      <w:r>
        <w:t>Advanced Plan – $225/month</w:t>
      </w:r>
    </w:p>
    <w:p>
      <w:r>
        <w:t>Elite Plan – $350–$500/month</w:t>
      </w:r>
    </w:p>
    <w:p/>
    <w:p>
      <w:r>
        <w:t>Early Founders Rate:</w:t>
      </w:r>
    </w:p>
    <w:p>
      <w:r>
        <w:t>• 10–15% discount locked for first year</w:t>
      </w:r>
    </w:p>
    <w:p/>
    <w:p>
      <w:r>
        <w:t>Annual Prepaid Option:</w:t>
      </w:r>
    </w:p>
    <w:p>
      <w:r>
        <w:t>• 1 month free (pay for 11 months annually)</w:t>
      </w:r>
    </w:p>
    <w:p/>
    <w:p>
      <w:r>
        <w:t>Family Add-on:</w:t>
      </w:r>
    </w:p>
    <w:p>
      <w:r>
        <w:t>• Discounted additional household members</w:t>
      </w:r>
    </w:p>
    <w:p>
      <w:pPr>
        <w:pStyle w:val="Heading1"/>
      </w:pPr>
      <w:r>
        <w:t>3. Included Services</w:t>
      </w:r>
    </w:p>
    <w:p>
      <w:r>
        <w:t>• Same/next-day appointments</w:t>
      </w:r>
    </w:p>
    <w:p>
      <w:r>
        <w:t>• Direct communication access</w:t>
      </w:r>
    </w:p>
    <w:p>
      <w:r>
        <w:t>• Chronic disease optimization (HTN, DM, CKD)</w:t>
      </w:r>
    </w:p>
    <w:p>
      <w:r>
        <w:t>• Preventive health planning</w:t>
      </w:r>
    </w:p>
    <w:p>
      <w:r>
        <w:t>• Specialist coordination</w:t>
      </w:r>
    </w:p>
    <w:p>
      <w:r>
        <w:t>• Lifestyle and nutrition guidance</w:t>
      </w:r>
    </w:p>
    <w:p>
      <w:pPr>
        <w:pStyle w:val="Heading1"/>
      </w:pPr>
      <w:r>
        <w:t>4. TM-Flow Evaluation (Optional Add-On)</w:t>
      </w:r>
    </w:p>
    <w:p>
      <w:r>
        <w:t>TM-Flow testing provides non-invasive evaluation of:</w:t>
      </w:r>
    </w:p>
    <w:p>
      <w:r>
        <w:t>• Autonomic nervous system balance</w:t>
      </w:r>
    </w:p>
    <w:p>
      <w:r>
        <w:t>• Vascular health and arterial stiffness</w:t>
      </w:r>
    </w:p>
    <w:p>
      <w:r>
        <w:t>• Cardiometabolic risk indicators</w:t>
      </w:r>
    </w:p>
    <w:p/>
    <w:p>
      <w:r>
        <w:t>Pricing:</w:t>
      </w:r>
    </w:p>
    <w:p>
      <w:r>
        <w:t>• $75–$150 per test or bundled into Elite plans</w:t>
      </w:r>
    </w:p>
    <w:p>
      <w:pPr>
        <w:pStyle w:val="Heading1"/>
      </w:pPr>
      <w:r>
        <w:t>5. Compliance Statement</w:t>
      </w:r>
    </w:p>
    <w:p>
      <w:r>
        <w:t>This program strictly complies with Medicare and managed care regulations.</w:t>
      </w:r>
    </w:p>
    <w:p>
      <w:r>
        <w:t>• Membership fees apply ONLY to non-covered services</w:t>
      </w:r>
    </w:p>
    <w:p>
      <w:r>
        <w:t>• Insurance-covered services are billed separately</w:t>
      </w:r>
    </w:p>
    <w:p>
      <w:r>
        <w:t>• Participation is voluntary and not required for care</w:t>
      </w:r>
    </w:p>
    <w:p>
      <w:pPr>
        <w:pStyle w:val="Heading1"/>
      </w:pPr>
      <w:r>
        <w:t>6. Membership Agreement (Summary)</w:t>
      </w:r>
    </w:p>
    <w:p>
      <w:r>
        <w:t>This agreement is between Randall Maxey MD, PhD and the patient.</w:t>
      </w:r>
    </w:p>
    <w:p/>
    <w:p>
      <w:r>
        <w:t>Terms:</w:t>
      </w:r>
    </w:p>
    <w:p>
      <w:r>
        <w:t>• Monthly or annual fee</w:t>
      </w:r>
    </w:p>
    <w:p>
      <w:r>
        <w:t>• Covers non-covered services only</w:t>
      </w:r>
    </w:p>
    <w:p>
      <w:r>
        <w:t>• Cancel anytime with 30-day notice</w:t>
      </w:r>
    </w:p>
    <w:p>
      <w:r>
        <w:t>• No duplication of insurance billing</w:t>
      </w:r>
    </w:p>
    <w:p>
      <w:r>
        <w:t>• Services are supplemental to standard care</w:t>
      </w:r>
    </w:p>
    <w:p/>
    <w:p>
      <w:r>
        <w:t>Patient Responsibilities:</w:t>
      </w:r>
    </w:p>
    <w:p>
      <w:r>
        <w:t>• Maintain active insurance</w:t>
      </w:r>
    </w:p>
    <w:p>
      <w:r>
        <w:t>• Use emergency services when appropriate</w:t>
      </w:r>
    </w:p>
    <w:p>
      <w:pPr>
        <w:pStyle w:val="Heading1"/>
      </w:pPr>
      <w:r>
        <w:t>7. Patient Conversion Messaging</w:t>
      </w:r>
    </w:p>
    <w:p>
      <w:r>
        <w:t>“This program enhances your care but does not replace your insurance.”</w:t>
      </w:r>
    </w:p>
    <w:p>
      <w:r>
        <w:t>“You will still receive all covered services as usual.”</w:t>
      </w:r>
    </w:p>
    <w:p>
      <w:r>
        <w:t>“This allows more time, access, and prevention focused care.”</w:t>
      </w:r>
    </w:p>
    <w:p>
      <w:pPr>
        <w:pStyle w:val="Heading1"/>
      </w:pPr>
      <w:r>
        <w:t>8. Revenue Model</w:t>
      </w:r>
    </w:p>
    <w:p>
      <w:r>
        <w:t>Target: 50–75 patients</w:t>
      </w:r>
    </w:p>
    <w:p>
      <w:r>
        <w:t>Projected Revenue: $150K–$200K annually</w:t>
      </w:r>
    </w:p>
    <w:p/>
    <w:p>
      <w:r>
        <w:t>Example Mix:</w:t>
      </w:r>
    </w:p>
    <w:p>
      <w:r>
        <w:t>• 20 Basic</w:t>
      </w:r>
    </w:p>
    <w:p>
      <w:r>
        <w:t>• 40 Advanced</w:t>
      </w:r>
    </w:p>
    <w:p>
      <w:r>
        <w:t>• 15 Elite</w:t>
      </w:r>
    </w:p>
    <w:p>
      <w:pPr>
        <w:pStyle w:val="Heading1"/>
      </w:pPr>
      <w:r>
        <w:t>9. Implementation Plan</w:t>
      </w:r>
    </w:p>
    <w:p>
      <w:r>
        <w:t>Week 1: Setup documents</w:t>
      </w:r>
    </w:p>
    <w:p>
      <w:r>
        <w:t>Week 2: Patient outreach</w:t>
      </w:r>
    </w:p>
    <w:p>
      <w:r>
        <w:t>Week 3–4: Enrollment</w:t>
      </w:r>
    </w:p>
    <w:p>
      <w:r>
        <w:t>Target: First 30 patients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